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540" w:type="dxa"/>
        <w:tblInd w:w="-108" w:type="dxa"/>
        <w:tblBorders>
          <w:top w:val="nil"/>
          <w:left w:val="nil"/>
          <w:right w:val="nil"/>
        </w:tblBorders>
        <w:tblLayout w:type="fixed"/>
        <w:tblCellMar>
          <w:left w:w="0" w:type="dxa"/>
          <w:right w:w="0" w:type="dxa"/>
        </w:tblCellMar>
        <w:tblLook w:val="0000"/>
      </w:tblPr>
      <w:tblGrid>
        <w:gridCol w:w="8540"/>
      </w:tblGrid>
      <w:tr w:rsidR="00A874F2">
        <w:tc>
          <w:tcPr>
            <w:tcW w:w="8340" w:type="dxa"/>
            <w:tcBorders>
              <w:top w:val="nil"/>
              <w:left w:val="nil"/>
              <w:bottom w:val="nil"/>
              <w:right w:val="nil"/>
            </w:tcBorders>
            <w:tcMar>
              <w:top w:w="100" w:type="nil"/>
              <w:left w:w="100" w:type="nil"/>
              <w:bottom w:w="100" w:type="nil"/>
              <w:right w:w="100" w:type="nil"/>
            </w:tcMar>
            <w:vAlign w:val="center"/>
          </w:tcPr>
          <w:p w:rsidR="00A874F2" w:rsidRDefault="00A874F2">
            <w:pPr>
              <w:widowControl w:val="0"/>
              <w:autoSpaceDE w:val="0"/>
              <w:autoSpaceDN w:val="0"/>
              <w:adjustRightInd w:val="0"/>
              <w:rPr>
                <w:rFonts w:ascii="Trebuchet MS" w:hAnsi="Trebuchet MS" w:cs="Trebuchet MS"/>
                <w:b/>
                <w:bCs/>
                <w:color w:val="145600"/>
                <w:sz w:val="32"/>
                <w:szCs w:val="32"/>
              </w:rPr>
            </w:pPr>
            <w:r>
              <w:rPr>
                <w:rFonts w:ascii="Trebuchet MS" w:hAnsi="Trebuchet MS" w:cs="Trebuchet MS"/>
                <w:b/>
                <w:bCs/>
                <w:color w:val="145600"/>
                <w:sz w:val="38"/>
                <w:szCs w:val="38"/>
              </w:rPr>
              <w:t>Advanced Biofuels Leadership Conference</w:t>
            </w:r>
          </w:p>
          <w:p w:rsidR="00A874F2" w:rsidRDefault="00A874F2">
            <w:pPr>
              <w:widowControl w:val="0"/>
              <w:autoSpaceDE w:val="0"/>
              <w:autoSpaceDN w:val="0"/>
              <w:adjustRightInd w:val="0"/>
              <w:rPr>
                <w:rFonts w:ascii="Verdana" w:hAnsi="Verdana" w:cs="Verdana"/>
                <w:sz w:val="22"/>
                <w:szCs w:val="22"/>
              </w:rPr>
            </w:pPr>
            <w:r>
              <w:rPr>
                <w:rFonts w:ascii="Verdana" w:hAnsi="Verdana" w:cs="Verdana"/>
                <w:sz w:val="22"/>
                <w:szCs w:val="22"/>
              </w:rPr>
              <w:t> </w:t>
            </w:r>
          </w:p>
          <w:p w:rsidR="00A874F2" w:rsidRDefault="00A874F2">
            <w:pPr>
              <w:widowControl w:val="0"/>
              <w:autoSpaceDE w:val="0"/>
              <w:autoSpaceDN w:val="0"/>
              <w:adjustRightInd w:val="0"/>
              <w:rPr>
                <w:rFonts w:ascii="Verdana" w:hAnsi="Verdana" w:cs="Verdana"/>
                <w:sz w:val="22"/>
                <w:szCs w:val="22"/>
              </w:rPr>
            </w:pPr>
            <w:r>
              <w:rPr>
                <w:rFonts w:ascii="Verdana" w:hAnsi="Verdana" w:cs="Verdana"/>
                <w:sz w:val="22"/>
                <w:szCs w:val="22"/>
              </w:rPr>
              <w:t> </w:t>
            </w:r>
            <w:r>
              <w:rPr>
                <w:rFonts w:ascii="Verdana" w:hAnsi="Verdana" w:cs="Verdana"/>
                <w:sz w:val="26"/>
                <w:szCs w:val="26"/>
              </w:rPr>
              <w:t>Greetings!</w:t>
            </w:r>
            <w:r>
              <w:rPr>
                <w:rFonts w:ascii="Verdana" w:hAnsi="Verdana" w:cs="Verdana"/>
                <w:sz w:val="22"/>
                <w:szCs w:val="22"/>
              </w:rPr>
              <w:t xml:space="preserve">  </w:t>
            </w:r>
          </w:p>
          <w:p w:rsidR="00A874F2" w:rsidRPr="00A874F2" w:rsidRDefault="00A874F2">
            <w:pPr>
              <w:widowControl w:val="0"/>
              <w:autoSpaceDE w:val="0"/>
              <w:autoSpaceDN w:val="0"/>
              <w:adjustRightInd w:val="0"/>
              <w:rPr>
                <w:rFonts w:ascii="Verdana" w:hAnsi="Verdana" w:cs="Verdana"/>
                <w:sz w:val="22"/>
                <w:szCs w:val="22"/>
              </w:rPr>
            </w:pPr>
            <w:r>
              <w:rPr>
                <w:rFonts w:ascii="Verdana" w:hAnsi="Verdana" w:cs="Verdana"/>
                <w:sz w:val="22"/>
                <w:szCs w:val="22"/>
              </w:rPr>
              <w:t> </w:t>
            </w:r>
          </w:p>
          <w:p w:rsidR="00A874F2" w:rsidRDefault="00A874F2">
            <w:pPr>
              <w:widowControl w:val="0"/>
              <w:autoSpaceDE w:val="0"/>
              <w:autoSpaceDN w:val="0"/>
              <w:adjustRightInd w:val="0"/>
              <w:rPr>
                <w:rFonts w:ascii="Arial" w:hAnsi="Arial" w:cs="Arial"/>
                <w:b/>
                <w:bCs/>
                <w:sz w:val="42"/>
                <w:szCs w:val="42"/>
              </w:rPr>
            </w:pPr>
            <w:r>
              <w:rPr>
                <w:rFonts w:ascii="Arial" w:hAnsi="Arial" w:cs="Arial"/>
                <w:b/>
                <w:bCs/>
                <w:color w:val="A8060B"/>
                <w:sz w:val="42"/>
                <w:szCs w:val="42"/>
              </w:rPr>
              <w:t xml:space="preserve">ABLC Online Conference Networking platform </w:t>
            </w:r>
            <w:r>
              <w:rPr>
                <w:rFonts w:ascii="Arial" w:hAnsi="Arial" w:cs="Arial"/>
                <w:b/>
                <w:bCs/>
                <w:sz w:val="42"/>
                <w:szCs w:val="42"/>
              </w:rPr>
              <w:t>to open March 14.</w:t>
            </w:r>
          </w:p>
          <w:p w:rsidR="00A874F2" w:rsidRDefault="00A874F2">
            <w:pPr>
              <w:widowControl w:val="0"/>
              <w:autoSpaceDE w:val="0"/>
              <w:autoSpaceDN w:val="0"/>
              <w:adjustRightInd w:val="0"/>
              <w:rPr>
                <w:rFonts w:ascii="Arial" w:hAnsi="Arial" w:cs="Arial"/>
                <w:b/>
                <w:bCs/>
                <w:sz w:val="32"/>
                <w:szCs w:val="32"/>
              </w:rPr>
            </w:pPr>
          </w:p>
          <w:p w:rsidR="00A874F2" w:rsidRDefault="00A874F2">
            <w:pPr>
              <w:widowControl w:val="0"/>
              <w:autoSpaceDE w:val="0"/>
              <w:autoSpaceDN w:val="0"/>
              <w:adjustRightInd w:val="0"/>
              <w:rPr>
                <w:rFonts w:ascii="Arial" w:hAnsi="Arial" w:cs="Arial"/>
                <w:b/>
                <w:bCs/>
                <w:sz w:val="32"/>
                <w:szCs w:val="32"/>
              </w:rPr>
            </w:pPr>
            <w:r>
              <w:rPr>
                <w:rFonts w:ascii="Arial" w:hAnsi="Arial" w:cs="Arial"/>
                <w:b/>
                <w:bCs/>
                <w:sz w:val="32"/>
                <w:szCs w:val="32"/>
              </w:rPr>
              <w:t>Already an attendee? </w:t>
            </w:r>
          </w:p>
          <w:p w:rsidR="00A874F2" w:rsidRPr="00A874F2" w:rsidRDefault="00A874F2">
            <w:pPr>
              <w:widowControl w:val="0"/>
              <w:autoSpaceDE w:val="0"/>
              <w:autoSpaceDN w:val="0"/>
              <w:adjustRightInd w:val="0"/>
              <w:rPr>
                <w:rFonts w:ascii="Arial" w:hAnsi="Arial" w:cs="Arial"/>
                <w:sz w:val="26"/>
                <w:szCs w:val="26"/>
              </w:rPr>
            </w:pPr>
            <w:r>
              <w:rPr>
                <w:rFonts w:ascii="Arial" w:hAnsi="Arial" w:cs="Arial"/>
                <w:sz w:val="26"/>
                <w:szCs w:val="26"/>
              </w:rPr>
              <w:t>Your online, 24/7/365 communications platform comes online 3/14. You're all set - login instructions and how-tos will be emailed to you.</w:t>
            </w:r>
          </w:p>
          <w:p w:rsidR="00A874F2" w:rsidRDefault="00A874F2">
            <w:pPr>
              <w:widowControl w:val="0"/>
              <w:autoSpaceDE w:val="0"/>
              <w:autoSpaceDN w:val="0"/>
              <w:adjustRightInd w:val="0"/>
              <w:rPr>
                <w:rFonts w:ascii="Arial" w:hAnsi="Arial" w:cs="Arial"/>
                <w:b/>
                <w:bCs/>
                <w:sz w:val="32"/>
                <w:szCs w:val="32"/>
              </w:rPr>
            </w:pPr>
          </w:p>
          <w:p w:rsidR="00A874F2" w:rsidRDefault="00A874F2">
            <w:pPr>
              <w:widowControl w:val="0"/>
              <w:autoSpaceDE w:val="0"/>
              <w:autoSpaceDN w:val="0"/>
              <w:adjustRightInd w:val="0"/>
              <w:rPr>
                <w:rFonts w:ascii="Arial" w:hAnsi="Arial" w:cs="Arial"/>
                <w:b/>
                <w:bCs/>
                <w:sz w:val="32"/>
                <w:szCs w:val="32"/>
              </w:rPr>
            </w:pPr>
            <w:r>
              <w:rPr>
                <w:rFonts w:ascii="Arial" w:hAnsi="Arial" w:cs="Arial"/>
                <w:b/>
                <w:bCs/>
                <w:sz w:val="32"/>
                <w:szCs w:val="32"/>
              </w:rPr>
              <w:t>Not yet registered?</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Take advantage of this free, 24/7/365 communications platform - that puts you in touch with the industry's key decision-makers -  with your ABLC registration. Details here. </w:t>
            </w:r>
          </w:p>
          <w:p w:rsidR="00A874F2" w:rsidRDefault="00A874F2">
            <w:pPr>
              <w:widowControl w:val="0"/>
              <w:autoSpaceDE w:val="0"/>
              <w:autoSpaceDN w:val="0"/>
              <w:adjustRightInd w:val="0"/>
              <w:rPr>
                <w:rFonts w:ascii="Arial" w:hAnsi="Arial" w:cs="Arial"/>
                <w:b/>
                <w:bCs/>
                <w:sz w:val="32"/>
                <w:szCs w:val="32"/>
              </w:rPr>
            </w:pPr>
            <w:r>
              <w:rPr>
                <w:rFonts w:ascii="Arial" w:hAnsi="Arial" w:cs="Arial"/>
                <w:b/>
                <w:bCs/>
                <w:sz w:val="32"/>
                <w:szCs w:val="32"/>
              </w:rPr>
              <w:t> </w:t>
            </w:r>
          </w:p>
          <w:p w:rsidR="00A874F2" w:rsidRDefault="00A874F2">
            <w:pPr>
              <w:widowControl w:val="0"/>
              <w:autoSpaceDE w:val="0"/>
              <w:autoSpaceDN w:val="0"/>
              <w:adjustRightInd w:val="0"/>
              <w:rPr>
                <w:rFonts w:ascii="Arial" w:hAnsi="Arial" w:cs="Arial"/>
                <w:b/>
                <w:bCs/>
                <w:sz w:val="32"/>
                <w:szCs w:val="32"/>
              </w:rPr>
            </w:pPr>
            <w:r>
              <w:rPr>
                <w:rFonts w:ascii="Arial" w:hAnsi="Arial" w:cs="Arial"/>
                <w:b/>
                <w:bCs/>
                <w:noProof/>
                <w:sz w:val="32"/>
                <w:szCs w:val="32"/>
              </w:rPr>
              <w:drawing>
                <wp:inline distT="0" distB="0" distL="0" distR="0">
                  <wp:extent cx="3810000" cy="15919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810000" cy="1591945"/>
                          </a:xfrm>
                          <a:prstGeom prst="rect">
                            <a:avLst/>
                          </a:prstGeom>
                          <a:noFill/>
                          <a:ln>
                            <a:noFill/>
                          </a:ln>
                        </pic:spPr>
                      </pic:pic>
                    </a:graphicData>
                  </a:graphic>
                </wp:inline>
              </w:drawing>
            </w:r>
          </w:p>
          <w:p w:rsidR="00A874F2" w:rsidRDefault="00A874F2">
            <w:pPr>
              <w:widowControl w:val="0"/>
              <w:autoSpaceDE w:val="0"/>
              <w:autoSpaceDN w:val="0"/>
              <w:adjustRightInd w:val="0"/>
              <w:rPr>
                <w:rFonts w:ascii="Times" w:hAnsi="Times" w:cs="Times"/>
                <w:sz w:val="32"/>
                <w:szCs w:val="32"/>
              </w:rPr>
            </w:pPr>
            <w:r>
              <w:rPr>
                <w:rFonts w:ascii="Arial" w:hAnsi="Arial" w:cs="Arial"/>
                <w:b/>
                <w:bCs/>
                <w:sz w:val="32"/>
                <w:szCs w:val="32"/>
              </w:rPr>
              <w:t>Rich Attendee Profiles</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You can personalize your profile and access personalized details for other attendees: photos, bios, tags, as well as links to all representations of yourself or your company on the web such as Facebook, LinkedIn, Twitter and your web site.</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b/>
                <w:bCs/>
                <w:sz w:val="32"/>
                <w:szCs w:val="32"/>
              </w:rPr>
            </w:pPr>
            <w:r>
              <w:rPr>
                <w:rFonts w:ascii="Arial" w:hAnsi="Arial" w:cs="Arial"/>
                <w:b/>
                <w:bCs/>
                <w:noProof/>
                <w:sz w:val="32"/>
                <w:szCs w:val="32"/>
              </w:rPr>
              <w:drawing>
                <wp:inline distT="0" distB="0" distL="0" distR="0">
                  <wp:extent cx="3810000" cy="15919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810000" cy="1591945"/>
                          </a:xfrm>
                          <a:prstGeom prst="rect">
                            <a:avLst/>
                          </a:prstGeom>
                          <a:noFill/>
                          <a:ln>
                            <a:noFill/>
                          </a:ln>
                        </pic:spPr>
                      </pic:pic>
                    </a:graphicData>
                  </a:graphic>
                </wp:inline>
              </w:drawing>
            </w:r>
          </w:p>
          <w:p w:rsidR="00A874F2" w:rsidRDefault="00A874F2">
            <w:pPr>
              <w:widowControl w:val="0"/>
              <w:autoSpaceDE w:val="0"/>
              <w:autoSpaceDN w:val="0"/>
              <w:adjustRightInd w:val="0"/>
              <w:rPr>
                <w:rFonts w:ascii="Arial" w:hAnsi="Arial" w:cs="Arial"/>
                <w:sz w:val="26"/>
                <w:szCs w:val="26"/>
              </w:rPr>
            </w:pPr>
            <w:r>
              <w:rPr>
                <w:rFonts w:ascii="Arial" w:hAnsi="Arial" w:cs="Arial"/>
                <w:b/>
                <w:bCs/>
                <w:sz w:val="32"/>
                <w:szCs w:val="32"/>
              </w:rPr>
              <w:t>Engaging Discussion Forums</w:t>
            </w:r>
            <w:r>
              <w:rPr>
                <w:rFonts w:ascii="Arial" w:hAnsi="Arial" w:cs="Arial"/>
                <w:sz w:val="26"/>
                <w:szCs w:val="26"/>
              </w:rPr>
              <w:t> </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lastRenderedPageBreak/>
              <w:t xml:space="preserve">Our set of discussion tools help you get conversations started and keep them going by connecting people with common interests: pre-conference, during conference week, and for 12 months after the conference ends. </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b/>
                <w:bCs/>
                <w:sz w:val="32"/>
                <w:szCs w:val="32"/>
              </w:rPr>
            </w:pPr>
            <w:r>
              <w:rPr>
                <w:rFonts w:ascii="Arial" w:hAnsi="Arial" w:cs="Arial"/>
                <w:b/>
                <w:bCs/>
                <w:noProof/>
                <w:sz w:val="32"/>
                <w:szCs w:val="32"/>
              </w:rPr>
              <w:drawing>
                <wp:inline distT="0" distB="0" distL="0" distR="0">
                  <wp:extent cx="3810000" cy="15919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810000" cy="1591945"/>
                          </a:xfrm>
                          <a:prstGeom prst="rect">
                            <a:avLst/>
                          </a:prstGeom>
                          <a:noFill/>
                          <a:ln>
                            <a:noFill/>
                          </a:ln>
                        </pic:spPr>
                      </pic:pic>
                    </a:graphicData>
                  </a:graphic>
                </wp:inline>
              </w:drawing>
            </w:r>
          </w:p>
          <w:p w:rsidR="00A874F2" w:rsidRDefault="00A874F2">
            <w:pPr>
              <w:widowControl w:val="0"/>
              <w:autoSpaceDE w:val="0"/>
              <w:autoSpaceDN w:val="0"/>
              <w:adjustRightInd w:val="0"/>
              <w:rPr>
                <w:rFonts w:ascii="Arial" w:hAnsi="Arial" w:cs="Arial"/>
                <w:sz w:val="26"/>
                <w:szCs w:val="26"/>
              </w:rPr>
            </w:pPr>
            <w:r>
              <w:rPr>
                <w:rFonts w:ascii="Arial" w:hAnsi="Arial" w:cs="Arial"/>
                <w:b/>
                <w:bCs/>
                <w:sz w:val="32"/>
                <w:szCs w:val="32"/>
              </w:rPr>
              <w:t>Personalized Conference Calendar</w:t>
            </w:r>
            <w:r>
              <w:rPr>
                <w:rFonts w:ascii="Arial" w:hAnsi="Arial" w:cs="Arial"/>
                <w:sz w:val="26"/>
                <w:szCs w:val="26"/>
              </w:rPr>
              <w:t> </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You can build your own calendar of sessions as you plan to attend them, download slides and hand-outs, schedule private one-on-one meetings and reserve rooms or "networking tables". Interested in a hosted buyer program? ABLC allows you to set and manage meetings for attendees through a simple web interface.</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b/>
                <w:bCs/>
                <w:sz w:val="32"/>
                <w:szCs w:val="32"/>
              </w:rPr>
            </w:pPr>
            <w:r>
              <w:rPr>
                <w:rFonts w:ascii="Arial" w:hAnsi="Arial" w:cs="Arial"/>
                <w:b/>
                <w:bCs/>
                <w:noProof/>
                <w:sz w:val="32"/>
                <w:szCs w:val="32"/>
              </w:rPr>
              <w:drawing>
                <wp:inline distT="0" distB="0" distL="0" distR="0">
                  <wp:extent cx="3810000" cy="15919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810000" cy="1591945"/>
                          </a:xfrm>
                          <a:prstGeom prst="rect">
                            <a:avLst/>
                          </a:prstGeom>
                          <a:noFill/>
                          <a:ln>
                            <a:noFill/>
                          </a:ln>
                        </pic:spPr>
                      </pic:pic>
                    </a:graphicData>
                  </a:graphic>
                </wp:inline>
              </w:drawing>
            </w:r>
          </w:p>
          <w:p w:rsidR="00A874F2" w:rsidRDefault="00A874F2">
            <w:pPr>
              <w:widowControl w:val="0"/>
              <w:autoSpaceDE w:val="0"/>
              <w:autoSpaceDN w:val="0"/>
              <w:adjustRightInd w:val="0"/>
              <w:rPr>
                <w:rFonts w:ascii="Arial" w:hAnsi="Arial" w:cs="Arial"/>
                <w:sz w:val="26"/>
                <w:szCs w:val="26"/>
              </w:rPr>
            </w:pPr>
            <w:r>
              <w:rPr>
                <w:rFonts w:ascii="Arial" w:hAnsi="Arial" w:cs="Arial"/>
                <w:b/>
                <w:bCs/>
                <w:sz w:val="32"/>
                <w:szCs w:val="32"/>
              </w:rPr>
              <w:t>Complete Mobile Solution</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 xml:space="preserve">Whether for planning purposes, or real-time communication during conference week, ABLC has you covered with a high-performance mobile web application, built with HTML5 technology for roaring speed. </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Working from your iPhone, iPad, Blackberry, Android or Windows Mobile 7, you'll have complete, optimized access to your networking tools, 24/7/365.</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sz w:val="26"/>
                <w:szCs w:val="26"/>
              </w:rPr>
            </w:pPr>
            <w:r>
              <w:rPr>
                <w:rFonts w:ascii="Arial" w:hAnsi="Arial" w:cs="Arial"/>
                <w:b/>
                <w:bCs/>
                <w:sz w:val="32"/>
                <w:szCs w:val="32"/>
              </w:rPr>
              <w:t>Sponsors and Exhibitors</w:t>
            </w:r>
            <w:r>
              <w:rPr>
                <w:rFonts w:ascii="Arial" w:hAnsi="Arial" w:cs="Arial"/>
                <w:sz w:val="26"/>
                <w:szCs w:val="26"/>
              </w:rPr>
              <w:t> </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 xml:space="preserve">Selected exhibitors and sponsors will be building "virtual tradeshow booths" including interactive tradeshow floor maps. A great way to get real dialogue with exhibitors and find the services that are right for you, not just see their logos on the floor. </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b/>
                <w:bCs/>
                <w:sz w:val="32"/>
                <w:szCs w:val="32"/>
              </w:rPr>
            </w:pPr>
            <w:r>
              <w:rPr>
                <w:rFonts w:ascii="Arial" w:hAnsi="Arial" w:cs="Arial"/>
                <w:b/>
                <w:bCs/>
                <w:noProof/>
                <w:sz w:val="32"/>
                <w:szCs w:val="32"/>
              </w:rPr>
              <w:drawing>
                <wp:inline distT="0" distB="0" distL="0" distR="0">
                  <wp:extent cx="3810000" cy="15919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810000" cy="1591945"/>
                          </a:xfrm>
                          <a:prstGeom prst="rect">
                            <a:avLst/>
                          </a:prstGeom>
                          <a:noFill/>
                          <a:ln>
                            <a:noFill/>
                          </a:ln>
                        </pic:spPr>
                      </pic:pic>
                    </a:graphicData>
                  </a:graphic>
                </wp:inline>
              </w:drawing>
            </w:r>
          </w:p>
          <w:p w:rsidR="00A874F2" w:rsidRDefault="00A874F2">
            <w:pPr>
              <w:widowControl w:val="0"/>
              <w:autoSpaceDE w:val="0"/>
              <w:autoSpaceDN w:val="0"/>
              <w:adjustRightInd w:val="0"/>
              <w:rPr>
                <w:rFonts w:ascii="Arial" w:hAnsi="Arial" w:cs="Arial"/>
                <w:sz w:val="26"/>
                <w:szCs w:val="26"/>
              </w:rPr>
            </w:pPr>
            <w:r>
              <w:rPr>
                <w:rFonts w:ascii="Arial" w:hAnsi="Arial" w:cs="Arial"/>
                <w:b/>
                <w:bCs/>
                <w:sz w:val="32"/>
                <w:szCs w:val="32"/>
              </w:rPr>
              <w:t>Facebook, LinkedIn and Twitter</w:t>
            </w:r>
            <w:r>
              <w:rPr>
                <w:rFonts w:ascii="Arial" w:hAnsi="Arial" w:cs="Arial"/>
                <w:sz w:val="26"/>
                <w:szCs w:val="26"/>
              </w:rPr>
              <w:t> </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ABLC compares your social network contacts to the community membership so you know who will be there among your own contacts. You can also use our sharing tools to enlist your contacts as a viral marketing team, as you get ready to promote your attendance at ABLC.</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  </w:t>
            </w:r>
          </w:p>
          <w:p w:rsidR="00A874F2" w:rsidRDefault="00A874F2">
            <w:pPr>
              <w:widowControl w:val="0"/>
              <w:autoSpaceDE w:val="0"/>
              <w:autoSpaceDN w:val="0"/>
              <w:adjustRightInd w:val="0"/>
              <w:rPr>
                <w:rFonts w:ascii="Arial" w:hAnsi="Arial" w:cs="Arial"/>
                <w:sz w:val="26"/>
                <w:szCs w:val="26"/>
              </w:rPr>
            </w:pPr>
            <w:r>
              <w:rPr>
                <w:rFonts w:ascii="Arial" w:hAnsi="Arial" w:cs="Arial"/>
                <w:b/>
                <w:bCs/>
                <w:sz w:val="32"/>
                <w:szCs w:val="32"/>
              </w:rPr>
              <w:t>Stay in contact, post-conference</w:t>
            </w:r>
            <w:r>
              <w:rPr>
                <w:rFonts w:ascii="Arial" w:hAnsi="Arial" w:cs="Arial"/>
                <w:sz w:val="26"/>
                <w:szCs w:val="26"/>
              </w:rPr>
              <w:t> </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Your ABLC tools stay online for 12 months after ABLC ends - profiles, discussion forums, sharing tools, and mobile integration. We'll make sure you can stay in touch with new contacts made at ABLC, and make new contacts as the year unfolds.</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b/>
                <w:bCs/>
                <w:color w:val="A8060B"/>
                <w:sz w:val="48"/>
                <w:szCs w:val="48"/>
              </w:rPr>
            </w:pPr>
          </w:p>
          <w:p w:rsidR="00A874F2" w:rsidRDefault="00A874F2">
            <w:pPr>
              <w:widowControl w:val="0"/>
              <w:autoSpaceDE w:val="0"/>
              <w:autoSpaceDN w:val="0"/>
              <w:adjustRightInd w:val="0"/>
              <w:rPr>
                <w:rFonts w:ascii="Arial" w:hAnsi="Arial" w:cs="Arial"/>
                <w:sz w:val="26"/>
                <w:szCs w:val="26"/>
              </w:rPr>
            </w:pPr>
            <w:r>
              <w:rPr>
                <w:rFonts w:ascii="Arial" w:hAnsi="Arial" w:cs="Arial"/>
                <w:b/>
                <w:bCs/>
                <w:color w:val="A8060B"/>
                <w:sz w:val="48"/>
                <w:szCs w:val="48"/>
              </w:rPr>
              <w:t>Not yet registered for ABLC?</w:t>
            </w:r>
          </w:p>
          <w:p w:rsidR="00A874F2" w:rsidRDefault="002971A0">
            <w:pPr>
              <w:widowControl w:val="0"/>
              <w:autoSpaceDE w:val="0"/>
              <w:autoSpaceDN w:val="0"/>
              <w:adjustRightInd w:val="0"/>
              <w:rPr>
                <w:rFonts w:ascii="Arial" w:hAnsi="Arial" w:cs="Arial"/>
                <w:sz w:val="26"/>
                <w:szCs w:val="26"/>
              </w:rPr>
            </w:pPr>
            <w:hyperlink r:id="rId9" w:history="1">
              <w:r w:rsidR="00A874F2">
                <w:rPr>
                  <w:rFonts w:ascii="Arial" w:hAnsi="Arial" w:cs="Arial"/>
                  <w:b/>
                  <w:bCs/>
                  <w:color w:val="0000FF"/>
                  <w:sz w:val="32"/>
                  <w:szCs w:val="32"/>
                </w:rPr>
                <w:t>Complete</w:t>
              </w:r>
              <w:r w:rsidR="00A874F2">
                <w:rPr>
                  <w:rFonts w:ascii="Arial" w:hAnsi="Arial" w:cs="Arial"/>
                  <w:color w:val="0000FF"/>
                  <w:sz w:val="32"/>
                  <w:szCs w:val="32"/>
                  <w:u w:val="single"/>
                </w:rPr>
                <w:t xml:space="preserve"> AB</w:t>
              </w:r>
              <w:bookmarkStart w:id="0" w:name="_GoBack"/>
              <w:bookmarkEnd w:id="0"/>
              <w:r w:rsidR="00A874F2">
                <w:rPr>
                  <w:rFonts w:ascii="Arial" w:hAnsi="Arial" w:cs="Arial"/>
                  <w:color w:val="0000FF"/>
                  <w:sz w:val="32"/>
                  <w:szCs w:val="32"/>
                  <w:u w:val="single"/>
                </w:rPr>
                <w:t xml:space="preserve">LC conference information is here.  </w:t>
              </w:r>
            </w:hyperlink>
            <w:r w:rsidR="00A874F2">
              <w:rPr>
                <w:rFonts w:ascii="Arial" w:hAnsi="Arial" w:cs="Arial"/>
                <w:sz w:val="32"/>
                <w:szCs w:val="32"/>
              </w:rPr>
              <w:t> </w:t>
            </w:r>
          </w:p>
          <w:p w:rsidR="00A874F2" w:rsidRDefault="00A874F2">
            <w:pPr>
              <w:widowControl w:val="0"/>
              <w:autoSpaceDE w:val="0"/>
              <w:autoSpaceDN w:val="0"/>
              <w:adjustRightInd w:val="0"/>
              <w:rPr>
                <w:rFonts w:ascii="Arial" w:hAnsi="Arial" w:cs="Arial"/>
                <w:b/>
                <w:bCs/>
                <w:color w:val="C70000"/>
                <w:sz w:val="26"/>
                <w:szCs w:val="26"/>
              </w:rPr>
            </w:pPr>
          </w:p>
          <w:p w:rsidR="00A874F2" w:rsidRDefault="00A874F2">
            <w:pPr>
              <w:widowControl w:val="0"/>
              <w:autoSpaceDE w:val="0"/>
              <w:autoSpaceDN w:val="0"/>
              <w:adjustRightInd w:val="0"/>
              <w:rPr>
                <w:rFonts w:ascii="Arial" w:hAnsi="Arial" w:cs="Arial"/>
                <w:sz w:val="26"/>
                <w:szCs w:val="26"/>
              </w:rPr>
            </w:pPr>
            <w:r>
              <w:rPr>
                <w:rFonts w:ascii="Arial" w:hAnsi="Arial" w:cs="Arial"/>
                <w:b/>
                <w:bCs/>
                <w:color w:val="C70000"/>
                <w:sz w:val="26"/>
                <w:szCs w:val="26"/>
              </w:rPr>
              <w:t>"THIS IS IS A MUST DO CONFERENCE."  </w:t>
            </w:r>
          </w:p>
          <w:p w:rsidR="00A874F2" w:rsidRDefault="00A874F2">
            <w:pPr>
              <w:widowControl w:val="0"/>
              <w:autoSpaceDE w:val="0"/>
              <w:autoSpaceDN w:val="0"/>
              <w:adjustRightInd w:val="0"/>
              <w:jc w:val="right"/>
              <w:rPr>
                <w:rFonts w:ascii="Arial" w:hAnsi="Arial" w:cs="Arial"/>
                <w:sz w:val="26"/>
                <w:szCs w:val="26"/>
              </w:rPr>
            </w:pPr>
            <w:r>
              <w:rPr>
                <w:rFonts w:ascii="Arial" w:hAnsi="Arial" w:cs="Arial"/>
                <w:i/>
                <w:iCs/>
                <w:sz w:val="26"/>
                <w:szCs w:val="26"/>
              </w:rPr>
              <w:t>- Mike McAdams, President, The Advanced Biofuels Association</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Best regards,</w:t>
            </w:r>
          </w:p>
          <w:p w:rsidR="00A874F2" w:rsidRDefault="00A874F2">
            <w:pPr>
              <w:widowControl w:val="0"/>
              <w:autoSpaceDE w:val="0"/>
              <w:autoSpaceDN w:val="0"/>
              <w:adjustRightInd w:val="0"/>
              <w:rPr>
                <w:rFonts w:ascii="Arial" w:hAnsi="Arial" w:cs="Arial"/>
                <w:sz w:val="26"/>
                <w:szCs w:val="26"/>
              </w:rPr>
            </w:pP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Jim Lane</w:t>
            </w:r>
          </w:p>
          <w:p w:rsidR="00A874F2" w:rsidRDefault="00A874F2">
            <w:pPr>
              <w:widowControl w:val="0"/>
              <w:autoSpaceDE w:val="0"/>
              <w:autoSpaceDN w:val="0"/>
              <w:adjustRightInd w:val="0"/>
              <w:rPr>
                <w:rFonts w:ascii="Arial" w:hAnsi="Arial" w:cs="Arial"/>
                <w:sz w:val="26"/>
                <w:szCs w:val="26"/>
              </w:rPr>
            </w:pPr>
            <w:r>
              <w:rPr>
                <w:rFonts w:ascii="Arial" w:hAnsi="Arial" w:cs="Arial"/>
                <w:sz w:val="26"/>
                <w:szCs w:val="26"/>
              </w:rPr>
              <w:t xml:space="preserve">Editor &amp; Publisher </w:t>
            </w:r>
          </w:p>
          <w:p w:rsidR="00A874F2" w:rsidRDefault="00A874F2">
            <w:pPr>
              <w:widowControl w:val="0"/>
              <w:autoSpaceDE w:val="0"/>
              <w:autoSpaceDN w:val="0"/>
              <w:adjustRightInd w:val="0"/>
              <w:rPr>
                <w:rFonts w:ascii="Times" w:hAnsi="Times" w:cs="Times"/>
                <w:sz w:val="32"/>
                <w:szCs w:val="32"/>
              </w:rPr>
            </w:pPr>
            <w:r>
              <w:rPr>
                <w:rFonts w:ascii="Arial" w:hAnsi="Arial" w:cs="Arial"/>
                <w:sz w:val="26"/>
                <w:szCs w:val="26"/>
              </w:rPr>
              <w:t>Biofuels Digest </w:t>
            </w:r>
          </w:p>
        </w:tc>
      </w:tr>
      <w:tr w:rsidR="00A874F2">
        <w:tc>
          <w:tcPr>
            <w:tcW w:w="8748" w:type="dxa"/>
            <w:tcBorders>
              <w:top w:val="nil"/>
              <w:left w:val="nil"/>
              <w:bottom w:val="nil"/>
              <w:right w:val="nil"/>
            </w:tcBorders>
            <w:shd w:val="clear" w:color="auto" w:fill="FBC440"/>
            <w:vAlign w:val="center"/>
          </w:tcPr>
          <w:p w:rsidR="00A874F2" w:rsidRDefault="00A874F2">
            <w:pPr>
              <w:widowControl w:val="0"/>
              <w:autoSpaceDE w:val="0"/>
              <w:autoSpaceDN w:val="0"/>
              <w:adjustRightInd w:val="0"/>
              <w:rPr>
                <w:rFonts w:ascii="Times" w:hAnsi="Times" w:cs="Times"/>
                <w:sz w:val="32"/>
                <w:szCs w:val="32"/>
              </w:rPr>
            </w:pPr>
          </w:p>
        </w:tc>
      </w:tr>
      <w:tr w:rsidR="00A874F2">
        <w:tc>
          <w:tcPr>
            <w:tcW w:w="8340" w:type="dxa"/>
            <w:tcBorders>
              <w:top w:val="nil"/>
              <w:left w:val="nil"/>
              <w:bottom w:val="nil"/>
              <w:right w:val="nil"/>
            </w:tcBorders>
            <w:tcMar>
              <w:top w:w="100" w:type="nil"/>
              <w:left w:w="100" w:type="nil"/>
              <w:bottom w:w="100" w:type="nil"/>
              <w:right w:w="100" w:type="nil"/>
            </w:tcMar>
            <w:vAlign w:val="center"/>
          </w:tcPr>
          <w:p w:rsidR="00A874F2" w:rsidRDefault="00A874F2">
            <w:pPr>
              <w:widowControl w:val="0"/>
              <w:autoSpaceDE w:val="0"/>
              <w:autoSpaceDN w:val="0"/>
              <w:adjustRightInd w:val="0"/>
              <w:rPr>
                <w:rFonts w:ascii="Trebuchet MS" w:hAnsi="Trebuchet MS" w:cs="Trebuchet MS"/>
                <w:b/>
                <w:bCs/>
                <w:color w:val="145600"/>
                <w:sz w:val="32"/>
                <w:szCs w:val="32"/>
              </w:rPr>
            </w:pPr>
            <w:r>
              <w:rPr>
                <w:rFonts w:ascii="Trebuchet MS" w:hAnsi="Trebuchet MS" w:cs="Trebuchet MS"/>
                <w:b/>
                <w:bCs/>
                <w:color w:val="145600"/>
                <w:sz w:val="32"/>
                <w:szCs w:val="32"/>
              </w:rPr>
              <w:t>Who's Going?</w:t>
            </w:r>
          </w:p>
          <w:p w:rsidR="00A874F2" w:rsidRDefault="00A874F2">
            <w:pPr>
              <w:widowControl w:val="0"/>
              <w:autoSpaceDE w:val="0"/>
              <w:autoSpaceDN w:val="0"/>
              <w:adjustRightInd w:val="0"/>
              <w:jc w:val="center"/>
              <w:rPr>
                <w:rFonts w:ascii="Times" w:hAnsi="Times" w:cs="Times"/>
                <w:sz w:val="32"/>
                <w:szCs w:val="32"/>
              </w:rPr>
            </w:pPr>
            <w:r>
              <w:rPr>
                <w:rFonts w:ascii="Times" w:hAnsi="Times" w:cs="Times"/>
                <w:sz w:val="32"/>
                <w:szCs w:val="32"/>
              </w:rPr>
              <w:t> </w:t>
            </w:r>
            <w:r>
              <w:rPr>
                <w:rFonts w:ascii="Verdana" w:hAnsi="Verdana" w:cs="Verdana"/>
                <w:b/>
                <w:bCs/>
                <w:sz w:val="42"/>
                <w:szCs w:val="42"/>
              </w:rPr>
              <w:t>   </w:t>
            </w:r>
            <w:r>
              <w:rPr>
                <w:rFonts w:ascii="Verdana" w:hAnsi="Verdana" w:cs="Verdana"/>
                <w:b/>
                <w:bCs/>
                <w:color w:val="A8060B"/>
                <w:sz w:val="42"/>
                <w:szCs w:val="42"/>
              </w:rPr>
              <w:t>Meet 190 companies at </w:t>
            </w:r>
            <w:r>
              <w:rPr>
                <w:rFonts w:ascii="Verdana" w:hAnsi="Verdana" w:cs="Verdana"/>
                <w:b/>
                <w:bCs/>
                <w:sz w:val="42"/>
                <w:szCs w:val="42"/>
              </w:rPr>
              <w:t xml:space="preserve">  </w:t>
            </w:r>
          </w:p>
          <w:p w:rsidR="00A874F2" w:rsidRDefault="00A874F2">
            <w:pPr>
              <w:widowControl w:val="0"/>
              <w:autoSpaceDE w:val="0"/>
              <w:autoSpaceDN w:val="0"/>
              <w:adjustRightInd w:val="0"/>
              <w:jc w:val="center"/>
              <w:rPr>
                <w:rFonts w:ascii="Times" w:hAnsi="Times" w:cs="Times"/>
                <w:sz w:val="32"/>
                <w:szCs w:val="32"/>
              </w:rPr>
            </w:pPr>
            <w:r>
              <w:rPr>
                <w:rFonts w:ascii="Verdana" w:hAnsi="Verdana" w:cs="Verdana"/>
                <w:b/>
                <w:bCs/>
                <w:sz w:val="32"/>
                <w:szCs w:val="32"/>
              </w:rPr>
              <w:t> </w:t>
            </w:r>
          </w:p>
          <w:p w:rsidR="00A874F2" w:rsidRDefault="00A874F2">
            <w:pPr>
              <w:widowControl w:val="0"/>
              <w:autoSpaceDE w:val="0"/>
              <w:autoSpaceDN w:val="0"/>
              <w:adjustRightInd w:val="0"/>
              <w:jc w:val="center"/>
              <w:rPr>
                <w:rFonts w:ascii="Times" w:hAnsi="Times" w:cs="Times"/>
                <w:sz w:val="32"/>
                <w:szCs w:val="32"/>
              </w:rPr>
            </w:pPr>
            <w:r>
              <w:rPr>
                <w:rFonts w:ascii="Verdana" w:hAnsi="Verdana" w:cs="Verdana"/>
                <w:b/>
                <w:bCs/>
                <w:sz w:val="32"/>
                <w:szCs w:val="32"/>
              </w:rPr>
              <w:lastRenderedPageBreak/>
              <w:t>Advanced Biofuels Leadership Conference  and Renewable Chemicals Live</w:t>
            </w:r>
            <w:r>
              <w:rPr>
                <w:rFonts w:ascii="Verdana" w:hAnsi="Verdana" w:cs="Verdana"/>
                <w:b/>
                <w:bCs/>
                <w:color w:val="434343"/>
                <w:sz w:val="26"/>
                <w:szCs w:val="26"/>
              </w:rPr>
              <w:t> </w:t>
            </w:r>
          </w:p>
          <w:p w:rsidR="00A874F2" w:rsidRDefault="00A874F2">
            <w:pPr>
              <w:widowControl w:val="0"/>
              <w:autoSpaceDE w:val="0"/>
              <w:autoSpaceDN w:val="0"/>
              <w:adjustRightInd w:val="0"/>
              <w:rPr>
                <w:rFonts w:ascii="Verdana" w:hAnsi="Verdana" w:cs="Verdana"/>
                <w:i/>
                <w:iCs/>
                <w:sz w:val="26"/>
                <w:szCs w:val="26"/>
              </w:rPr>
            </w:pPr>
            <w:r>
              <w:rPr>
                <w:rFonts w:ascii="Verdana" w:hAnsi="Verdana" w:cs="Verdana"/>
                <w:b/>
                <w:bCs/>
                <w:i/>
                <w:iCs/>
                <w:sz w:val="26"/>
                <w:szCs w:val="26"/>
              </w:rPr>
              <w:t> </w:t>
            </w:r>
          </w:p>
          <w:p w:rsidR="00A874F2" w:rsidRDefault="00A874F2">
            <w:pPr>
              <w:widowControl w:val="0"/>
              <w:autoSpaceDE w:val="0"/>
              <w:autoSpaceDN w:val="0"/>
              <w:adjustRightInd w:val="0"/>
              <w:rPr>
                <w:rFonts w:ascii="Times" w:hAnsi="Times" w:cs="Times"/>
                <w:sz w:val="32"/>
                <w:szCs w:val="32"/>
              </w:rPr>
            </w:pPr>
            <w:r>
              <w:rPr>
                <w:rFonts w:ascii="Verdana" w:hAnsi="Verdana" w:cs="Verdana"/>
                <w:i/>
                <w:iCs/>
                <w:sz w:val="26"/>
                <w:szCs w:val="26"/>
              </w:rPr>
              <w:t>Companies attending (registered through Feb 9, 2012)</w:t>
            </w:r>
            <w:r>
              <w:rPr>
                <w:rFonts w:ascii="Verdana" w:hAnsi="Verdana" w:cs="Verdana"/>
                <w:b/>
                <w:bCs/>
                <w:i/>
                <w:iCs/>
                <w:sz w:val="26"/>
                <w:szCs w:val="26"/>
              </w:rPr>
              <w:t> </w:t>
            </w:r>
          </w:p>
          <w:p w:rsidR="00A874F2" w:rsidRDefault="00A874F2">
            <w:pPr>
              <w:widowControl w:val="0"/>
              <w:autoSpaceDE w:val="0"/>
              <w:autoSpaceDN w:val="0"/>
              <w:adjustRightInd w:val="0"/>
              <w:rPr>
                <w:rFonts w:ascii="Verdana" w:hAnsi="Verdana" w:cs="Verdana"/>
                <w:sz w:val="22"/>
                <w:szCs w:val="2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ACA Associates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Advanced Biofuels Association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Agenda 2020 Technology Alliance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Agrisoma Biosciences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Air Products and Chemicals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Airlines for America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Alaska Airlines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Algal Biomass Organization</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Alliance Biofuels Conferences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American Process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Amyris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Andritz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Applied Research Associates,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ArborGen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Australian Trade Commission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Avantium</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Avello Bioenergy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Barber Advisors LLC</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Bermuda Institute of Ocean Science (BIOS)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Betaseed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BIO</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Bio Architecture Lab,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Bio-NRG, LLC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Bioenergy Deployment Consortium</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Biofuels Digest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BioProcess Algae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Bloomberg BNA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Blue Marble Biomaterials</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BofA Merrill Lynch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BP Biofuels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Burns &amp; McDonnell</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Burrill &amp; Company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Byogy Renewables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CAAFI Certification/Qualification Team</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Canadian Consulate General Miami</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Catchlight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Ceres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CH2M HILL</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Champagne-Ardennes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Chaparral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Chevron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Chromatin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 xml:space="preserve">CIBC World Markets, Inc. </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Citi Investment Research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Cleantech Alliance Mid Atlantic (CAMA)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Cobalt Technologies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Codexis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Coequity</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Collaborative Events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Coskata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Covanta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Defense Logistics Agency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Direve Industrial Biotechnology GmbH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DLA Piper LLP (US)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Dominion Bond Rating Service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DSM</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Durr Systems,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Dyadic International</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Elevance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Elsevier Biofuel</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Enerkem</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Ensovi, LLC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Ensyn Technologies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EnVertis Consulting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Environmental Entrepreneurs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European Economic Development Partners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F.O. Licht Commodity Analysis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FAA/CAAFI</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Fish &amp; Richardson PC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Fitch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Flint Hills Resources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Fredrikson &amp; Byron P.A.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Gas Technology Institute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Genencor</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General Atomics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Genomatica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Georgia Environmental Finance Authority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Gevo</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Glycos Biotechnologies,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lastRenderedPageBreak/>
              <w:t>Goldman Sachs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Government Contracting Specialists, LLC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Graal Bio</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Green Plains Renewable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Green Power Conferences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Green Vision Group,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Growth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Haltermann Solutions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 xml:space="preserve">Hawaii State Energy Office </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HCL Cleantech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Heidrick &amp; Struggles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Herty AMDC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Honeywell UOP</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Hudson Clean Energy Partners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ICM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Imperium Renewables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Indiana University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Innovation Norway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Iogen Energy</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Iowa Economic Development Authority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IR1 Group</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Jefferies &amp; Company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KBR</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Kellogg Brown &amp; Root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Kincannon &amp; Reed</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Krieg DeVault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KY Energy &amp; Environment Cabinet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LanzaTech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Leatherstocking LLC</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Lockheed Martin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Louisiana Economic Development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LS9</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Malaysian Life Sciences Capital Fund Ltd</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Mascoma Corporation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MATHESON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Maverick Biofuels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MBI</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Mergermarket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Metabolix</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Metron Aviation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 xml:space="preserve">Mintz Levin </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Mississippi State University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lastRenderedPageBreak/>
              <w:t>Montauk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Myriant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National Biodiesel Board</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National Cancer Institute, NIH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National Corn-to-Ethanol Research Center</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North Dakota State University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Novozymes</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Oak Ridge National Laboratory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OPIS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OPX Biotechnologies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Pacific Crest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Phycal</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Platts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Port of Seattle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Primus Green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Proterro</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Pulsar Energy Capital</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PureVision Technology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pyroil international</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Renewable Analytics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Renewable Energy Group</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Renewable Energy Strategies LLC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Rennovia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Rentech</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Ricardo</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Rivertop Renewables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Rodman Publications</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Sapphire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ScottMadden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Show Me Energy Cooperative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Sierra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Solazyme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Space Coast Energy Consortium</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SPW</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Standard &amp; Poor's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 xml:space="preserve">Stern Brothers &amp; Co. </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Stratum Technologies</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Sud-Chemie AG</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Sweetwater Energy,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Syngest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Synthos S.A.</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TAPPI</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lastRenderedPageBreak/>
              <w:t>Taylor-DeJongh,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Terrabon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TeselaGen Biotechnology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Tesoro Companies Inc.</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The Institute for Advanced Learning and Research</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ThermoChem Recovery Int'l Inc. (TRI)</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TipToe Technology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 xml:space="preserve">U.S. Department of Agriculture </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U.S. Department of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U.S. Energy Information Administration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UFRJ - Universidade Federal do Rio de Janeiro</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Union of Indonesian Estate Crops Farmers' Association</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United Airlines</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University of Hawaii / CTAHR</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University of Illinois</w:t>
            </w:r>
          </w:p>
          <w:p w:rsidR="00A874F2" w:rsidRDefault="00A874F2">
            <w:pPr>
              <w:widowControl w:val="0"/>
              <w:autoSpaceDE w:val="0"/>
              <w:autoSpaceDN w:val="0"/>
              <w:adjustRightInd w:val="0"/>
              <w:rPr>
                <w:rFonts w:ascii="Times" w:hAnsi="Times" w:cs="Times"/>
                <w:sz w:val="32"/>
                <w:szCs w:val="32"/>
              </w:rPr>
            </w:pP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UOP</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US Renewable Group</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Venrock</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Verdezyne</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VIN2DA GREEN ENERGY SOLUTIONS PVT. LTD</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Virent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Waste Management</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Growth Energy</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Wilson Sonsini Goodrich &amp; Rosati</w:t>
            </w:r>
          </w:p>
          <w:p w:rsidR="00A874F2" w:rsidRDefault="00A874F2">
            <w:pPr>
              <w:widowControl w:val="0"/>
              <w:autoSpaceDE w:val="0"/>
              <w:autoSpaceDN w:val="0"/>
              <w:adjustRightInd w:val="0"/>
              <w:rPr>
                <w:rFonts w:ascii="Times" w:hAnsi="Times" w:cs="Times"/>
                <w:sz w:val="32"/>
                <w:szCs w:val="32"/>
              </w:rPr>
            </w:pPr>
            <w:r>
              <w:rPr>
                <w:rFonts w:ascii="Verdana" w:hAnsi="Verdana" w:cs="Verdana"/>
                <w:sz w:val="22"/>
                <w:szCs w:val="22"/>
              </w:rPr>
              <w:t>ZeaChem Inc.</w:t>
            </w:r>
          </w:p>
        </w:tc>
      </w:tr>
    </w:tbl>
    <w:p w:rsidR="00B65DBD" w:rsidRDefault="00B65DBD"/>
    <w:sectPr w:rsidR="00B65DBD" w:rsidSect="00CA03F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A874F2"/>
    <w:rsid w:val="00034784"/>
    <w:rsid w:val="002971A0"/>
    <w:rsid w:val="00A874F2"/>
    <w:rsid w:val="00B65DBD"/>
    <w:rsid w:val="00CA03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1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74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74F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74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874F2"/>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bit.ly/vhf3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1004</Words>
  <Characters>5728</Characters>
  <Application>Microsoft Office Word</Application>
  <DocSecurity>0</DocSecurity>
  <Lines>47</Lines>
  <Paragraphs>13</Paragraphs>
  <ScaleCrop>false</ScaleCrop>
  <Company>Alliance Biofuels Conferences, LLC</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Lundberg</dc:creator>
  <cp:lastModifiedBy>kstewart</cp:lastModifiedBy>
  <cp:revision>2</cp:revision>
  <dcterms:created xsi:type="dcterms:W3CDTF">2012-03-07T20:26:00Z</dcterms:created>
  <dcterms:modified xsi:type="dcterms:W3CDTF">2012-03-07T20:26:00Z</dcterms:modified>
</cp:coreProperties>
</file>