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46D5" w14:textId="3AB6749A" w:rsidR="00573EA0" w:rsidRDefault="006B567A" w:rsidP="00573EA0">
      <w:pPr>
        <w:rPr>
          <w:b/>
          <w:bCs/>
        </w:rPr>
      </w:pPr>
      <w:r w:rsidRPr="006B567A">
        <w:rPr>
          <w:b/>
          <w:bCs/>
        </w:rPr>
        <w:t xml:space="preserve">Health Outcomes in Offspring Conceived by Assisted Reproductive Technology: A Developmental Origins Perspective </w:t>
      </w:r>
    </w:p>
    <w:p w14:paraId="4C75FEEE" w14:textId="77777777" w:rsidR="00A57F17" w:rsidRDefault="00A57F17" w:rsidP="00573EA0">
      <w:pPr>
        <w:rPr>
          <w:b/>
          <w:bCs/>
        </w:rPr>
      </w:pPr>
    </w:p>
    <w:p w14:paraId="547B14AA" w14:textId="704805C0" w:rsidR="00A57F17" w:rsidRPr="00A57F17" w:rsidRDefault="00A57F17" w:rsidP="00573EA0">
      <w:pPr>
        <w:rPr>
          <w:b/>
          <w:bCs/>
        </w:rPr>
      </w:pPr>
      <w:r w:rsidRPr="00A57F17">
        <w:rPr>
          <w:b/>
          <w:bCs/>
          <w:u w:val="single"/>
        </w:rPr>
        <w:t>Presenting Dr Wentao L</w:t>
      </w:r>
      <w:r w:rsidRPr="00A57F17">
        <w:rPr>
          <w:b/>
          <w:bCs/>
          <w:u w:val="single"/>
          <w:vertAlign w:val="superscript"/>
        </w:rPr>
        <w:t>1</w:t>
      </w:r>
      <w:r w:rsidRPr="00A57F17">
        <w:rPr>
          <w:b/>
          <w:bCs/>
        </w:rPr>
        <w:t>, Dr Paul R</w:t>
      </w:r>
      <w:r w:rsidRPr="00A57F17">
        <w:rPr>
          <w:b/>
          <w:bCs/>
          <w:vertAlign w:val="superscript"/>
        </w:rPr>
        <w:t>1</w:t>
      </w:r>
      <w:r w:rsidRPr="00A57F17">
        <w:rPr>
          <w:b/>
          <w:bCs/>
        </w:rPr>
        <w:t>, Dr Chambers GM</w:t>
      </w:r>
      <w:r w:rsidRPr="00A57F17">
        <w:rPr>
          <w:b/>
          <w:bCs/>
          <w:vertAlign w:val="superscript"/>
        </w:rPr>
        <w:t>1</w:t>
      </w:r>
    </w:p>
    <w:p w14:paraId="6CE7B788" w14:textId="2E28C9EA" w:rsidR="00A57F17" w:rsidRDefault="00A57F17" w:rsidP="00573EA0">
      <w:hyperlink r:id="rId10" w:history="1">
        <w:r w:rsidRPr="008F335E">
          <w:rPr>
            <w:rStyle w:val="Hyperlink"/>
          </w:rPr>
          <w:t>wt.li@unsw.edu.au</w:t>
        </w:r>
      </w:hyperlink>
    </w:p>
    <w:p w14:paraId="3344E849" w14:textId="77777777" w:rsidR="00A57F17" w:rsidRPr="00A57F17" w:rsidRDefault="00A57F17" w:rsidP="00573EA0"/>
    <w:p w14:paraId="53D11F8C" w14:textId="537F3339" w:rsidR="00A57F17" w:rsidRPr="00A57F17" w:rsidRDefault="00A57F17" w:rsidP="00573EA0">
      <w:r w:rsidRPr="00A57F17">
        <w:rPr>
          <w:b/>
          <w:bCs/>
          <w:vertAlign w:val="superscript"/>
        </w:rPr>
        <w:t>1</w:t>
      </w:r>
      <w:r w:rsidRPr="00A57F17">
        <w:rPr>
          <w:b/>
          <w:bCs/>
          <w:vertAlign w:val="superscript"/>
        </w:rPr>
        <w:t xml:space="preserve"> </w:t>
      </w:r>
      <w:r w:rsidRPr="00A57F17">
        <w:t>National Perinatal Epidemiology and S</w:t>
      </w:r>
      <w:r>
        <w:t>tatistics Unit, Centre for Big Data Research in Health, University of New South Wales (UNSW), Sydney</w:t>
      </w:r>
    </w:p>
    <w:p w14:paraId="4F238987" w14:textId="77777777" w:rsidR="00A57F17" w:rsidRPr="00A57F17" w:rsidRDefault="00A57F17" w:rsidP="00573EA0"/>
    <w:p w14:paraId="62FECF16" w14:textId="1BF2F606" w:rsidR="00573EA0" w:rsidRPr="00573EA0" w:rsidRDefault="00573EA0" w:rsidP="00573EA0">
      <w:r w:rsidRPr="00573EA0">
        <w:rPr>
          <w:b/>
          <w:bCs/>
        </w:rPr>
        <w:t>Background:</w:t>
      </w:r>
      <w:r w:rsidRPr="00573EA0">
        <w:t xml:space="preserve"> Assisted reproductive technology (ART) now accounts for a </w:t>
      </w:r>
      <w:r>
        <w:t>6 percent of all babies conceived in Australia</w:t>
      </w:r>
      <w:r w:rsidRPr="00573EA0">
        <w:t>, yet its intervention</w:t>
      </w:r>
      <w:r w:rsidR="006B567A">
        <w:t xml:space="preserve">s </w:t>
      </w:r>
      <w:r w:rsidRPr="00573EA0">
        <w:t>are applied precisely during the periconceptional window of gametogenesis, fertilisation and early embryogenesis.</w:t>
      </w:r>
      <w:r w:rsidR="006B567A">
        <w:t xml:space="preserve"> It </w:t>
      </w:r>
      <w:proofErr w:type="gramStart"/>
      <w:r w:rsidR="006B567A">
        <w:t>is  known</w:t>
      </w:r>
      <w:proofErr w:type="gramEnd"/>
      <w:r w:rsidR="006B567A">
        <w:t xml:space="preserve"> that children born from ART are at higher risk of poorer perinatal outcomes, but whether this due to the underlying infertility of parents or its treatment is not well understood.</w:t>
      </w:r>
    </w:p>
    <w:p w14:paraId="562F7084" w14:textId="77777777" w:rsidR="00573EA0" w:rsidRDefault="00573EA0" w:rsidP="00573EA0">
      <w:pPr>
        <w:rPr>
          <w:b/>
          <w:bCs/>
        </w:rPr>
      </w:pPr>
    </w:p>
    <w:p w14:paraId="645B6A23" w14:textId="24867B28" w:rsidR="00573EA0" w:rsidRPr="00573EA0" w:rsidRDefault="00573EA0" w:rsidP="00573EA0">
      <w:r w:rsidRPr="00573EA0">
        <w:rPr>
          <w:b/>
          <w:bCs/>
        </w:rPr>
        <w:t>Aim:</w:t>
      </w:r>
      <w:r w:rsidRPr="00573EA0">
        <w:t xml:space="preserve"> To synthesise contemporary evidence on health outcomes across the three populations touched by ART—treated women, their male partners, and offspring—and to situate these findings within a developmental-origins interpretive lens.</w:t>
      </w:r>
    </w:p>
    <w:p w14:paraId="1113D0D1" w14:textId="77777777" w:rsidR="00573EA0" w:rsidRDefault="00573EA0" w:rsidP="00573EA0">
      <w:pPr>
        <w:rPr>
          <w:b/>
          <w:bCs/>
        </w:rPr>
      </w:pPr>
    </w:p>
    <w:p w14:paraId="2203B72E" w14:textId="7E194683" w:rsidR="00573EA0" w:rsidRPr="00573EA0" w:rsidRDefault="009C4285" w:rsidP="00573EA0">
      <w:r>
        <w:rPr>
          <w:b/>
          <w:bCs/>
        </w:rPr>
        <w:t>Methods</w:t>
      </w:r>
      <w:r w:rsidR="00573EA0" w:rsidRPr="00573EA0">
        <w:rPr>
          <w:b/>
          <w:bCs/>
        </w:rPr>
        <w:t>:</w:t>
      </w:r>
      <w:r w:rsidR="00573EA0" w:rsidRPr="00573EA0">
        <w:t xml:space="preserve"> This presentation </w:t>
      </w:r>
      <w:r w:rsidR="00B51C55">
        <w:t>synthesize evidence from</w:t>
      </w:r>
      <w:r w:rsidR="00573EA0" w:rsidRPr="00573EA0">
        <w:t xml:space="preserve"> population-based studies, prospective cohorts, sibling and within-family comparisons, and systematic reviews, with particular attention to distinguishing treatment effects from the confounding contribution of underlying subfertility.</w:t>
      </w:r>
    </w:p>
    <w:p w14:paraId="3A5874B7" w14:textId="77777777" w:rsidR="00573EA0" w:rsidRDefault="00573EA0" w:rsidP="00573EA0">
      <w:pPr>
        <w:rPr>
          <w:b/>
          <w:bCs/>
        </w:rPr>
      </w:pPr>
    </w:p>
    <w:p w14:paraId="6262FA80" w14:textId="2172031C" w:rsidR="009C4285" w:rsidRPr="00573EA0" w:rsidRDefault="00573EA0" w:rsidP="00573EA0">
      <w:r w:rsidRPr="00573EA0">
        <w:rPr>
          <w:b/>
          <w:bCs/>
        </w:rPr>
        <w:t>Synthesis of Evidence:</w:t>
      </w:r>
      <w:r w:rsidRPr="00573EA0">
        <w:t xml:space="preserve"> </w:t>
      </w:r>
      <w:r w:rsidR="009C4285" w:rsidRPr="009C4285">
        <w:t xml:space="preserve">Perinatal outcomes diverge by procedure: fresh transfer is associated with preterm birth and lower birthweight, frozen transfer with large-for-gestational-age and hypertensive disorders of pregnancy. Small </w:t>
      </w:r>
      <w:r w:rsidR="00B51211">
        <w:t>increases</w:t>
      </w:r>
      <w:r w:rsidR="009C4285" w:rsidRPr="009C4285">
        <w:t xml:space="preserve"> in </w:t>
      </w:r>
      <w:r w:rsidR="00831834">
        <w:t xml:space="preserve">monozygotic twinning and </w:t>
      </w:r>
      <w:r w:rsidR="009C4285" w:rsidRPr="009C4285">
        <w:t xml:space="preserve">congenital anomaly are consistently reported, alongside rare but elevated imprinting-disorder risk. In childhood and adolescence, growth trajectories largely converge, whereas </w:t>
      </w:r>
      <w:r w:rsidR="00B51211">
        <w:t xml:space="preserve">evidence on </w:t>
      </w:r>
      <w:r w:rsidR="009C4285" w:rsidRPr="009C4285">
        <w:t>blood pressure, vascular function and adiposity remain</w:t>
      </w:r>
      <w:r w:rsidR="00B51211">
        <w:t>s</w:t>
      </w:r>
      <w:r w:rsidR="009C4285" w:rsidRPr="009C4285">
        <w:t xml:space="preserve"> inconsistent. Neurodevelopmental, cognitive and educational outcomes are broadly reassuring; childhood cancer incidence shows no consistent excess. Emerging data on ICSI-conceived </w:t>
      </w:r>
      <w:r w:rsidR="00B51211">
        <w:t>males</w:t>
      </w:r>
      <w:r w:rsidR="00B51211" w:rsidRPr="009C4285">
        <w:t xml:space="preserve"> </w:t>
      </w:r>
      <w:r w:rsidR="009C4285" w:rsidRPr="009C4285">
        <w:t xml:space="preserve">indicate </w:t>
      </w:r>
      <w:r w:rsidR="00B51211">
        <w:t>poorer</w:t>
      </w:r>
      <w:r w:rsidR="00B51211" w:rsidRPr="009C4285">
        <w:t xml:space="preserve"> </w:t>
      </w:r>
      <w:r w:rsidR="009C4285" w:rsidRPr="009C4285">
        <w:t>semen parameters</w:t>
      </w:r>
      <w:r w:rsidR="009C4285">
        <w:t xml:space="preserve"> and increased risk of urogenital </w:t>
      </w:r>
      <w:r w:rsidR="00B51C55">
        <w:t>anomalies</w:t>
      </w:r>
      <w:r w:rsidR="009C4285" w:rsidRPr="009C4285">
        <w:t>.</w:t>
      </w:r>
    </w:p>
    <w:p w14:paraId="1916816B" w14:textId="77777777" w:rsidR="00573EA0" w:rsidRDefault="00573EA0" w:rsidP="00573EA0">
      <w:pPr>
        <w:rPr>
          <w:b/>
          <w:bCs/>
        </w:rPr>
      </w:pPr>
    </w:p>
    <w:p w14:paraId="56C7BE99" w14:textId="2DEE1AFF" w:rsidR="00573EA0" w:rsidRPr="00573EA0" w:rsidRDefault="00573EA0" w:rsidP="00573EA0">
      <w:r w:rsidRPr="00573EA0">
        <w:rPr>
          <w:b/>
          <w:bCs/>
        </w:rPr>
        <w:t>Conclusions:</w:t>
      </w:r>
      <w:r w:rsidRPr="00573EA0">
        <w:t xml:space="preserve"> </w:t>
      </w:r>
      <w:r w:rsidR="009C4285" w:rsidRPr="009C4285">
        <w:t xml:space="preserve">Absolute risks to ART-conceived offspring are low and outcomes broadly reassuring, yet procedure-specific signals warrant sustained surveillance. Disentangling treatment </w:t>
      </w:r>
      <w:r w:rsidR="009C4285">
        <w:t>factors</w:t>
      </w:r>
      <w:r w:rsidR="009C4285" w:rsidRPr="009C4285">
        <w:t xml:space="preserve"> from parental </w:t>
      </w:r>
      <w:r w:rsidR="009C4285">
        <w:t>in</w:t>
      </w:r>
      <w:r w:rsidR="009C4285" w:rsidRPr="009C4285">
        <w:t xml:space="preserve">fertility remains the central </w:t>
      </w:r>
      <w:r w:rsidR="009C4285">
        <w:t xml:space="preserve">challenge. </w:t>
      </w:r>
      <w:r w:rsidRPr="00573EA0">
        <w:t xml:space="preserve"> </w:t>
      </w:r>
    </w:p>
    <w:p w14:paraId="0A13A027" w14:textId="77777777" w:rsidR="00573EA0" w:rsidRPr="00573EA0" w:rsidRDefault="00573EA0" w:rsidP="007E25FF"/>
    <w:sectPr w:rsidR="00573EA0" w:rsidRPr="00573EA0" w:rsidSect="0019282C">
      <w:headerReference w:type="even" r:id="rId11"/>
      <w:headerReference w:type="default" r:id="rId12"/>
      <w:headerReference w:type="first" r:id="rId13"/>
      <w:pgSz w:w="11906" w:h="16838" w:code="9"/>
      <w:pgMar w:top="2157" w:right="1418" w:bottom="141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EDDED" w14:textId="77777777" w:rsidR="00E83AFE" w:rsidRDefault="00E83AFE">
      <w:r>
        <w:separator/>
      </w:r>
    </w:p>
  </w:endnote>
  <w:endnote w:type="continuationSeparator" w:id="0">
    <w:p w14:paraId="1D5E2433" w14:textId="77777777" w:rsidR="00E83AFE" w:rsidRDefault="00E8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A1CDE" w14:textId="77777777" w:rsidR="00E83AFE" w:rsidRDefault="00E83AFE">
      <w:r>
        <w:separator/>
      </w:r>
    </w:p>
  </w:footnote>
  <w:footnote w:type="continuationSeparator" w:id="0">
    <w:p w14:paraId="23C9340E" w14:textId="77777777" w:rsidR="00E83AFE" w:rsidRDefault="00E8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35FA" w14:textId="77777777" w:rsidR="0019282C" w:rsidRDefault="00E83AFE">
    <w:pPr>
      <w:pStyle w:val="Header"/>
    </w:pPr>
    <w:r>
      <w:rPr>
        <w:noProof/>
      </w:rPr>
      <w:pict w14:anchorId="53649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box" style="position:absolute;margin-left:0;margin-top:0;width:721.5pt;height:719.2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2F7C" w14:textId="542DCF00" w:rsidR="0019282C" w:rsidRPr="00A8108D" w:rsidRDefault="001248A8" w:rsidP="002A5A26">
    <w:pPr>
      <w:pStyle w:val="Header"/>
      <w:jc w:val="center"/>
      <w:rPr>
        <w:rFonts w:ascii="Arial" w:hAnsi="Arial" w:cs="Arial"/>
      </w:rPr>
    </w:pPr>
    <w:proofErr w:type="spellStart"/>
    <w:r>
      <w:rPr>
        <w:rFonts w:ascii="Arial" w:hAnsi="Arial" w:cs="Arial"/>
      </w:rPr>
      <w:t>DOHaD</w:t>
    </w:r>
    <w:proofErr w:type="spellEnd"/>
    <w:r w:rsidR="000B0469">
      <w:rPr>
        <w:rFonts w:ascii="Arial" w:hAnsi="Arial" w:cs="Arial"/>
      </w:rPr>
      <w:t xml:space="preserve"> 20</w:t>
    </w:r>
    <w:r w:rsidR="00254C82">
      <w:rPr>
        <w:rFonts w:ascii="Arial" w:hAnsi="Arial" w:cs="Arial"/>
      </w:rPr>
      <w:t>2</w:t>
    </w:r>
    <w:r w:rsidR="0026021F">
      <w:rPr>
        <w:rFonts w:ascii="Arial" w:hAnsi="Arial" w:cs="Arial"/>
      </w:rPr>
      <w:t>6</w:t>
    </w:r>
    <w:r w:rsidR="000B0469">
      <w:rPr>
        <w:rFonts w:ascii="Arial" w:hAnsi="Arial" w:cs="Arial"/>
      </w:rPr>
      <w:t xml:space="preserve"> </w:t>
    </w:r>
    <w:r w:rsidR="000C72B8" w:rsidRPr="00A8108D">
      <w:rPr>
        <w:rFonts w:ascii="Arial" w:hAnsi="Arial" w:cs="Arial"/>
      </w:rPr>
      <w:t>ABSTRACT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5F04" w14:textId="77777777" w:rsidR="0019282C" w:rsidRDefault="00E83AFE">
    <w:pPr>
      <w:pStyle w:val="Header"/>
    </w:pPr>
    <w:r>
      <w:rPr>
        <w:noProof/>
      </w:rPr>
      <w:pict w14:anchorId="012919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box" style="position:absolute;margin-left:0;margin-top:0;width:721.5pt;height:719.2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x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EFEEB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51A89"/>
    <w:multiLevelType w:val="multilevel"/>
    <w:tmpl w:val="66287EB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7C2663"/>
    <w:multiLevelType w:val="hybridMultilevel"/>
    <w:tmpl w:val="C268921A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62AB"/>
    <w:multiLevelType w:val="hybridMultilevel"/>
    <w:tmpl w:val="16C01676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6C"/>
    <w:multiLevelType w:val="hybridMultilevel"/>
    <w:tmpl w:val="52FE70D8"/>
    <w:lvl w:ilvl="0" w:tplc="AB3A50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F4A34"/>
    <w:multiLevelType w:val="multilevel"/>
    <w:tmpl w:val="850A556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3B014A"/>
    <w:multiLevelType w:val="hybridMultilevel"/>
    <w:tmpl w:val="48CE6C90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C6CCA"/>
    <w:multiLevelType w:val="hybridMultilevel"/>
    <w:tmpl w:val="A52ABA06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A2C9A"/>
    <w:multiLevelType w:val="hybridMultilevel"/>
    <w:tmpl w:val="AD32D944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F300E"/>
    <w:multiLevelType w:val="hybridMultilevel"/>
    <w:tmpl w:val="850A5566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1970FA"/>
    <w:multiLevelType w:val="hybridMultilevel"/>
    <w:tmpl w:val="88D4AE90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A480C"/>
    <w:multiLevelType w:val="hybridMultilevel"/>
    <w:tmpl w:val="66287EBE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03792779">
    <w:abstractNumId w:val="10"/>
  </w:num>
  <w:num w:numId="2" w16cid:durableId="407456802">
    <w:abstractNumId w:val="3"/>
  </w:num>
  <w:num w:numId="3" w16cid:durableId="2141678366">
    <w:abstractNumId w:val="2"/>
  </w:num>
  <w:num w:numId="4" w16cid:durableId="1771387829">
    <w:abstractNumId w:val="6"/>
  </w:num>
  <w:num w:numId="5" w16cid:durableId="2709247">
    <w:abstractNumId w:val="8"/>
  </w:num>
  <w:num w:numId="6" w16cid:durableId="1157264983">
    <w:abstractNumId w:val="7"/>
  </w:num>
  <w:num w:numId="7" w16cid:durableId="2074618042">
    <w:abstractNumId w:val="9"/>
  </w:num>
  <w:num w:numId="8" w16cid:durableId="704066266">
    <w:abstractNumId w:val="5"/>
  </w:num>
  <w:num w:numId="9" w16cid:durableId="137260648">
    <w:abstractNumId w:val="11"/>
  </w:num>
  <w:num w:numId="10" w16cid:durableId="1047296097">
    <w:abstractNumId w:val="1"/>
  </w:num>
  <w:num w:numId="11" w16cid:durableId="1141531746">
    <w:abstractNumId w:val="4"/>
  </w:num>
  <w:num w:numId="12" w16cid:durableId="175473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5A"/>
    <w:rsid w:val="00035081"/>
    <w:rsid w:val="00067B13"/>
    <w:rsid w:val="000837F3"/>
    <w:rsid w:val="000A6CEE"/>
    <w:rsid w:val="000B0469"/>
    <w:rsid w:val="000B5CDB"/>
    <w:rsid w:val="000C72B8"/>
    <w:rsid w:val="001146AD"/>
    <w:rsid w:val="001248A8"/>
    <w:rsid w:val="00137796"/>
    <w:rsid w:val="00146DC7"/>
    <w:rsid w:val="00156D65"/>
    <w:rsid w:val="001573C4"/>
    <w:rsid w:val="0019282C"/>
    <w:rsid w:val="001A767F"/>
    <w:rsid w:val="001D0F2E"/>
    <w:rsid w:val="001F45A3"/>
    <w:rsid w:val="001F4917"/>
    <w:rsid w:val="00200F63"/>
    <w:rsid w:val="00215C18"/>
    <w:rsid w:val="00254C82"/>
    <w:rsid w:val="0026021F"/>
    <w:rsid w:val="002607B7"/>
    <w:rsid w:val="002A5A26"/>
    <w:rsid w:val="002E7358"/>
    <w:rsid w:val="0037561D"/>
    <w:rsid w:val="0038424B"/>
    <w:rsid w:val="003957CA"/>
    <w:rsid w:val="003C7799"/>
    <w:rsid w:val="003D4767"/>
    <w:rsid w:val="003F0CA5"/>
    <w:rsid w:val="003F43C4"/>
    <w:rsid w:val="0040400C"/>
    <w:rsid w:val="004207FE"/>
    <w:rsid w:val="0042682B"/>
    <w:rsid w:val="00460060"/>
    <w:rsid w:val="00482AD0"/>
    <w:rsid w:val="00492C4D"/>
    <w:rsid w:val="004954EB"/>
    <w:rsid w:val="004A061B"/>
    <w:rsid w:val="004F35E4"/>
    <w:rsid w:val="005437F1"/>
    <w:rsid w:val="00573C1F"/>
    <w:rsid w:val="00573EA0"/>
    <w:rsid w:val="00584D5A"/>
    <w:rsid w:val="005D3EB1"/>
    <w:rsid w:val="005F05BE"/>
    <w:rsid w:val="00631816"/>
    <w:rsid w:val="00654EE3"/>
    <w:rsid w:val="00657A04"/>
    <w:rsid w:val="006823C5"/>
    <w:rsid w:val="006A221C"/>
    <w:rsid w:val="006B567A"/>
    <w:rsid w:val="006B71A5"/>
    <w:rsid w:val="006F185E"/>
    <w:rsid w:val="007179AC"/>
    <w:rsid w:val="0072386F"/>
    <w:rsid w:val="00760830"/>
    <w:rsid w:val="00784ED6"/>
    <w:rsid w:val="00791D0C"/>
    <w:rsid w:val="007A71B8"/>
    <w:rsid w:val="007B76A1"/>
    <w:rsid w:val="007C072B"/>
    <w:rsid w:val="007E25FF"/>
    <w:rsid w:val="00831834"/>
    <w:rsid w:val="00833C16"/>
    <w:rsid w:val="00844F71"/>
    <w:rsid w:val="00883018"/>
    <w:rsid w:val="008D1EFE"/>
    <w:rsid w:val="00902486"/>
    <w:rsid w:val="009066FB"/>
    <w:rsid w:val="009322B8"/>
    <w:rsid w:val="0094345D"/>
    <w:rsid w:val="009559DF"/>
    <w:rsid w:val="00973A44"/>
    <w:rsid w:val="00994D11"/>
    <w:rsid w:val="009A0BDF"/>
    <w:rsid w:val="009A576E"/>
    <w:rsid w:val="009B1FDF"/>
    <w:rsid w:val="009B6979"/>
    <w:rsid w:val="009C03E2"/>
    <w:rsid w:val="009C4285"/>
    <w:rsid w:val="009C586C"/>
    <w:rsid w:val="009D0FB7"/>
    <w:rsid w:val="009E23EC"/>
    <w:rsid w:val="009F4F54"/>
    <w:rsid w:val="00A11D67"/>
    <w:rsid w:val="00A134B1"/>
    <w:rsid w:val="00A33752"/>
    <w:rsid w:val="00A57F17"/>
    <w:rsid w:val="00A6188C"/>
    <w:rsid w:val="00A625DB"/>
    <w:rsid w:val="00A62B11"/>
    <w:rsid w:val="00A6575E"/>
    <w:rsid w:val="00A73C51"/>
    <w:rsid w:val="00A8108D"/>
    <w:rsid w:val="00A94C53"/>
    <w:rsid w:val="00AC61AC"/>
    <w:rsid w:val="00AD41E4"/>
    <w:rsid w:val="00AF0E26"/>
    <w:rsid w:val="00AF3BF2"/>
    <w:rsid w:val="00AF3DCC"/>
    <w:rsid w:val="00B129AB"/>
    <w:rsid w:val="00B241DC"/>
    <w:rsid w:val="00B36F1D"/>
    <w:rsid w:val="00B51211"/>
    <w:rsid w:val="00B51C55"/>
    <w:rsid w:val="00B5418C"/>
    <w:rsid w:val="00BC5108"/>
    <w:rsid w:val="00BC607B"/>
    <w:rsid w:val="00BC6253"/>
    <w:rsid w:val="00BD265D"/>
    <w:rsid w:val="00C03D1F"/>
    <w:rsid w:val="00CB7039"/>
    <w:rsid w:val="00CC4DEA"/>
    <w:rsid w:val="00CD7E0E"/>
    <w:rsid w:val="00D20B2C"/>
    <w:rsid w:val="00D3441E"/>
    <w:rsid w:val="00D4492A"/>
    <w:rsid w:val="00D45D84"/>
    <w:rsid w:val="00D65876"/>
    <w:rsid w:val="00DB32B6"/>
    <w:rsid w:val="00E02DC3"/>
    <w:rsid w:val="00E04A54"/>
    <w:rsid w:val="00E10DDE"/>
    <w:rsid w:val="00E1734B"/>
    <w:rsid w:val="00E53731"/>
    <w:rsid w:val="00E56AF7"/>
    <w:rsid w:val="00E83AFE"/>
    <w:rsid w:val="00E84535"/>
    <w:rsid w:val="00EB35EB"/>
    <w:rsid w:val="00EC6883"/>
    <w:rsid w:val="00EE2F7C"/>
    <w:rsid w:val="00F232CA"/>
    <w:rsid w:val="00F23B7D"/>
    <w:rsid w:val="00F748FA"/>
    <w:rsid w:val="00FA51FC"/>
    <w:rsid w:val="00FE1655"/>
    <w:rsid w:val="00F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A3B14C"/>
  <w15:chartTrackingRefBased/>
  <w15:docId w15:val="{06337B91-1B8C-6B45-9B4D-ACEDD9DE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3C16"/>
    <w:rPr>
      <w:sz w:val="24"/>
      <w:szCs w:val="24"/>
      <w:lang w:eastAsia="en-AU"/>
    </w:rPr>
  </w:style>
  <w:style w:type="paragraph" w:styleId="Heading1">
    <w:name w:val="heading 1"/>
    <w:basedOn w:val="Normal"/>
    <w:next w:val="Normal"/>
    <w:qFormat/>
    <w:rsid w:val="00973A44"/>
    <w:pPr>
      <w:keepNext/>
      <w:spacing w:before="120" w:after="120"/>
      <w:contextualSpacing/>
      <w:outlineLvl w:val="0"/>
    </w:pPr>
    <w:rPr>
      <w:rFonts w:ascii="Franklin Gothic Demi" w:hAnsi="Franklin Gothic Demi" w:cs="Arial"/>
      <w:bCs/>
      <w:color w:val="008080"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973A44"/>
    <w:pPr>
      <w:keepNext/>
      <w:spacing w:before="120" w:after="120"/>
      <w:contextualSpacing/>
      <w:outlineLvl w:val="1"/>
    </w:pPr>
    <w:rPr>
      <w:rFonts w:ascii="Franklin Gothic Demi" w:hAnsi="Franklin Gothic Demi" w:cs="Arial"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973A44"/>
    <w:pPr>
      <w:keepNext/>
      <w:spacing w:before="40" w:after="40"/>
      <w:contextualSpacing/>
      <w:outlineLvl w:val="2"/>
    </w:pPr>
    <w:rPr>
      <w:rFonts w:ascii="Franklin Gothic Demi" w:hAnsi="Franklin Gothic Demi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0DDE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15C18"/>
    <w:pPr>
      <w:tabs>
        <w:tab w:val="right" w:leader="dot" w:pos="9062"/>
      </w:tabs>
      <w:spacing w:before="120" w:after="120"/>
      <w:ind w:right="74"/>
    </w:pPr>
    <w:rPr>
      <w:rFonts w:ascii="Arial" w:hAnsi="Arial"/>
      <w:bCs/>
      <w:noProof/>
      <w:lang w:val="en-US" w:eastAsia="en-US"/>
    </w:rPr>
  </w:style>
  <w:style w:type="paragraph" w:styleId="TOC9">
    <w:name w:val="toc 9"/>
    <w:aliases w:val="EP 1"/>
    <w:basedOn w:val="Normal"/>
    <w:next w:val="Normal"/>
    <w:autoRedefine/>
    <w:semiHidden/>
    <w:rsid w:val="003957CA"/>
    <w:pPr>
      <w:ind w:left="1920"/>
    </w:pPr>
    <w:rPr>
      <w:rFonts w:ascii="Arial" w:hAnsi="Arial"/>
      <w:bCs/>
      <w:color w:val="003366"/>
      <w:szCs w:val="20"/>
      <w:lang w:val="en-US" w:eastAsia="en-US"/>
    </w:rPr>
  </w:style>
  <w:style w:type="paragraph" w:styleId="Footer">
    <w:name w:val="footer"/>
    <w:basedOn w:val="Normal"/>
    <w:rsid w:val="009D0FB7"/>
    <w:pPr>
      <w:tabs>
        <w:tab w:val="center" w:pos="4153"/>
        <w:tab w:val="right" w:pos="8306"/>
      </w:tabs>
      <w:jc w:val="center"/>
    </w:pPr>
    <w:rPr>
      <w:sz w:val="16"/>
    </w:rPr>
  </w:style>
  <w:style w:type="paragraph" w:styleId="Header">
    <w:name w:val="header"/>
    <w:basedOn w:val="Normal"/>
    <w:rsid w:val="009D0FB7"/>
    <w:pPr>
      <w:tabs>
        <w:tab w:val="left" w:pos="4153"/>
        <w:tab w:val="right" w:pos="8306"/>
      </w:tabs>
    </w:pPr>
    <w:rPr>
      <w:b/>
    </w:rPr>
  </w:style>
  <w:style w:type="paragraph" w:styleId="NormalWeb">
    <w:name w:val="Normal (Web)"/>
    <w:basedOn w:val="Normal"/>
    <w:semiHidden/>
    <w:rsid w:val="00E10DDE"/>
    <w:pPr>
      <w:spacing w:before="100" w:beforeAutospacing="1" w:after="100" w:afterAutospacing="1"/>
    </w:pPr>
    <w:rPr>
      <w:bCs/>
    </w:rPr>
  </w:style>
  <w:style w:type="character" w:styleId="Strong">
    <w:name w:val="Strong"/>
    <w:qFormat/>
    <w:rsid w:val="00E10DD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54C82"/>
    <w:rPr>
      <w:color w:val="605E5C"/>
      <w:shd w:val="clear" w:color="auto" w:fill="E1DFDD"/>
    </w:rPr>
  </w:style>
  <w:style w:type="paragraph" w:styleId="BalloonText">
    <w:name w:val="Balloon Text"/>
    <w:basedOn w:val="Normal"/>
    <w:semiHidden/>
    <w:rsid w:val="00DB32B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573EA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51C55"/>
    <w:rPr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wt.li@unsw.edu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acddc8-faf2-448d-8cbd-d387e8df86a2">
      <Terms xmlns="http://schemas.microsoft.com/office/infopath/2007/PartnerControls"/>
    </lcf76f155ced4ddcb4097134ff3c332f>
    <TaxCatchAll xmlns="a70057d8-e7e9-4729-8d49-c8515ab495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0D94642E22E48AF596B9EB66EB5F8" ma:contentTypeVersion="19" ma:contentTypeDescription="Create a new document." ma:contentTypeScope="" ma:versionID="fd314c30880420d5367e0588ad14fdb2">
  <xsd:schema xmlns:xsd="http://www.w3.org/2001/XMLSchema" xmlns:xs="http://www.w3.org/2001/XMLSchema" xmlns:p="http://schemas.microsoft.com/office/2006/metadata/properties" xmlns:ns2="c2acddc8-faf2-448d-8cbd-d387e8df86a2" xmlns:ns3="a70057d8-e7e9-4729-8d49-c8515ab495b8" targetNamespace="http://schemas.microsoft.com/office/2006/metadata/properties" ma:root="true" ma:fieldsID="ef7b95efce75bdd98f3488e69c9ad5bb" ns2:_="" ns3:_="">
    <xsd:import namespace="c2acddc8-faf2-448d-8cbd-d387e8df86a2"/>
    <xsd:import namespace="a70057d8-e7e9-4729-8d49-c8515ab49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cddc8-faf2-448d-8cbd-d387e8df8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ce5a42b-9425-4097-9118-9518013f06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057d8-e7e9-4729-8d49-c8515ab495b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5242a61-e03f-411c-85d6-d7ae9a30d427}" ma:internalName="TaxCatchAll" ma:showField="CatchAllData" ma:web="a70057d8-e7e9-4729-8d49-c8515ab49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8BEAEE-0D8A-4425-8F32-D18BC789D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15051F-9D81-459B-947D-B915C7C35B55}">
  <ds:schemaRefs>
    <ds:schemaRef ds:uri="http://schemas.microsoft.com/office/2006/metadata/properties"/>
    <ds:schemaRef ds:uri="http://schemas.microsoft.com/office/infopath/2007/PartnerControls"/>
    <ds:schemaRef ds:uri="c2acddc8-faf2-448d-8cbd-d387e8df86a2"/>
    <ds:schemaRef ds:uri="a70057d8-e7e9-4729-8d49-c8515ab495b8"/>
  </ds:schemaRefs>
</ds:datastoreItem>
</file>

<file path=customXml/itemProps3.xml><?xml version="1.0" encoding="utf-8"?>
<ds:datastoreItem xmlns:ds="http://schemas.openxmlformats.org/officeDocument/2006/customXml" ds:itemID="{5F4BC3F7-B9A2-4E32-ABE7-7D3AB43CA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cddc8-faf2-448d-8cbd-d387e8df86a2"/>
    <ds:schemaRef ds:uri="a70057d8-e7e9-4729-8d49-c8515ab49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Style Guide</vt:lpstr>
    </vt:vector>
  </TitlesOfParts>
  <Company>Event Planners Australia Pty, Ltd.</Company>
  <LinksUpToDate>false</LinksUpToDate>
  <CharactersWithSpaces>2358</CharactersWithSpaces>
  <SharedDoc>false</SharedDoc>
  <HLinks>
    <vt:vector size="6" baseType="variant">
      <vt:variant>
        <vt:i4>7602200</vt:i4>
      </vt:variant>
      <vt:variant>
        <vt:i4>0</vt:i4>
      </vt:variant>
      <vt:variant>
        <vt:i4>0</vt:i4>
      </vt:variant>
      <vt:variant>
        <vt:i4>5</vt:i4>
      </vt:variant>
      <vt:variant>
        <vt:lpwstr>mailto:email@example.com.au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Guide</dc:title>
  <dc:subject/>
  <dc:creator>bevj</dc:creator>
  <cp:keywords/>
  <cp:lastModifiedBy>Georgina Chambers</cp:lastModifiedBy>
  <cp:revision>2</cp:revision>
  <dcterms:created xsi:type="dcterms:W3CDTF">2026-07-24T07:45:00Z</dcterms:created>
  <dcterms:modified xsi:type="dcterms:W3CDTF">2026-07-24T07:45:00Z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0x01010018B0D94642E22E48AF596B9EB66EB5F8</vt:lpwstr>
  </property>
  <property fmtid="{D5CDD505-2E9C-101B-9397-08002B2CF9AE}" pid="3" name="MediaServiceImageTags">
    <vt:lpwstr/>
  </property>
</Properties>
</file>